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1A8" w:rsidRDefault="003B61A8" w:rsidP="003B61A8">
      <w:pPr>
        <w:pStyle w:val="Header"/>
        <w:tabs>
          <w:tab w:val="right" w:pos="9356"/>
          <w:tab w:val="right" w:pos="10206"/>
        </w:tabs>
        <w:rPr>
          <w:rFonts w:cs="Arial"/>
          <w:i/>
          <w:sz w:val="24"/>
        </w:rPr>
      </w:pPr>
      <w:bookmarkStart w:id="0" w:name="_Toc491868096"/>
      <w:r>
        <w:rPr>
          <w:rFonts w:cs="Arial"/>
          <w:sz w:val="24"/>
        </w:rPr>
        <w:t>TSG-RAN Working Group 4 (Radio) meeting #8</w:t>
      </w:r>
      <w:r w:rsidR="0062745C">
        <w:rPr>
          <w:rFonts w:cs="Arial"/>
          <w:sz w:val="24"/>
        </w:rPr>
        <w:t>5</w:t>
      </w:r>
      <w:r>
        <w:rPr>
          <w:rFonts w:cs="Arial"/>
          <w:i/>
          <w:sz w:val="24"/>
        </w:rPr>
        <w:tab/>
      </w:r>
      <w:r w:rsidR="008508AB" w:rsidRPr="00AB2372">
        <w:rPr>
          <w:rFonts w:cs="Arial"/>
          <w:sz w:val="24"/>
        </w:rPr>
        <w:t>R4-1713696</w:t>
      </w:r>
      <w:r w:rsidR="008508AB" w:rsidRPr="008508AB" w:rsidDel="008508AB">
        <w:rPr>
          <w:rFonts w:cs="Arial"/>
          <w:i/>
          <w:sz w:val="24"/>
        </w:rPr>
        <w:t xml:space="preserve"> </w:t>
      </w:r>
    </w:p>
    <w:p w:rsidR="003B61A8" w:rsidRDefault="0062745C" w:rsidP="003B61A8">
      <w:pPr>
        <w:pStyle w:val="Header"/>
        <w:tabs>
          <w:tab w:val="right" w:pos="10206"/>
        </w:tabs>
        <w:spacing w:after="120"/>
        <w:rPr>
          <w:rFonts w:cs="Arial"/>
          <w:sz w:val="24"/>
        </w:rPr>
      </w:pPr>
      <w:r>
        <w:rPr>
          <w:rFonts w:cs="Arial"/>
          <w:sz w:val="24"/>
        </w:rPr>
        <w:t>Reno, Nevada</w:t>
      </w:r>
      <w:r w:rsidR="003B61A8">
        <w:rPr>
          <w:rFonts w:cs="Arial"/>
          <w:sz w:val="24"/>
        </w:rPr>
        <w:t xml:space="preserve">, </w:t>
      </w:r>
      <w:r>
        <w:rPr>
          <w:rFonts w:cs="Arial"/>
          <w:sz w:val="24"/>
        </w:rPr>
        <w:t>US</w:t>
      </w:r>
      <w:r w:rsidR="003B61A8">
        <w:rPr>
          <w:rFonts w:cs="Arial"/>
          <w:sz w:val="24"/>
        </w:rPr>
        <w:t xml:space="preserve">, </w:t>
      </w:r>
      <w:r>
        <w:rPr>
          <w:rFonts w:cs="Arial"/>
          <w:sz w:val="24"/>
        </w:rPr>
        <w:t>27</w:t>
      </w:r>
      <w:r w:rsidR="003B61A8" w:rsidRPr="0097610A">
        <w:rPr>
          <w:rFonts w:cs="Arial"/>
          <w:sz w:val="24"/>
          <w:vertAlign w:val="superscript"/>
        </w:rPr>
        <w:t>th</w:t>
      </w:r>
      <w:r w:rsidR="003B61A8">
        <w:rPr>
          <w:rFonts w:cs="Arial"/>
          <w:sz w:val="24"/>
        </w:rPr>
        <w:t xml:space="preserve"> </w:t>
      </w:r>
      <w:r>
        <w:rPr>
          <w:rFonts w:cs="Arial"/>
          <w:sz w:val="24"/>
        </w:rPr>
        <w:t>November -</w:t>
      </w:r>
      <w:r w:rsidR="003B61A8">
        <w:rPr>
          <w:rFonts w:cs="Arial"/>
          <w:sz w:val="24"/>
        </w:rPr>
        <w:t xml:space="preserve"> 1</w:t>
      </w:r>
      <w:r w:rsidRPr="0062745C">
        <w:rPr>
          <w:rFonts w:cs="Arial"/>
          <w:sz w:val="24"/>
          <w:vertAlign w:val="superscript"/>
        </w:rPr>
        <w:t>st</w:t>
      </w:r>
      <w:r>
        <w:rPr>
          <w:rFonts w:cs="Arial"/>
          <w:sz w:val="24"/>
        </w:rPr>
        <w:t xml:space="preserve"> December</w:t>
      </w:r>
      <w:r w:rsidR="003B61A8">
        <w:rPr>
          <w:rFonts w:cs="Arial"/>
          <w:sz w:val="24"/>
        </w:rPr>
        <w:t xml:space="preserve"> 2017</w:t>
      </w:r>
    </w:p>
    <w:p w:rsidR="003B61A8" w:rsidRDefault="003B61A8" w:rsidP="003B61A8">
      <w:pPr>
        <w:spacing w:after="120"/>
        <w:ind w:left="1985" w:hanging="1985"/>
        <w:rPr>
          <w:rFonts w:ascii="Arial" w:hAnsi="Arial" w:cs="Arial"/>
          <w:b/>
        </w:rPr>
      </w:pPr>
    </w:p>
    <w:p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sidR="00ED050C">
        <w:rPr>
          <w:rFonts w:ascii="Arial" w:hAnsi="Arial" w:cs="Arial"/>
          <w:bCs/>
        </w:rPr>
        <w:t>Sony</w:t>
      </w:r>
      <w:r w:rsidR="00FF298C">
        <w:rPr>
          <w:rFonts w:ascii="Arial" w:hAnsi="Arial" w:cs="Arial"/>
          <w:bCs/>
        </w:rPr>
        <w:t xml:space="preserve">, </w:t>
      </w:r>
      <w:r w:rsidR="00FF298C">
        <w:rPr>
          <w:rFonts w:ascii="Arial" w:hAnsi="Arial" w:cs="Arial"/>
          <w:bCs/>
        </w:rPr>
        <w:t>Ericsson</w:t>
      </w:r>
    </w:p>
    <w:p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F134A0">
        <w:rPr>
          <w:rFonts w:ascii="Arial" w:hAnsi="Arial" w:cs="Arial"/>
        </w:rPr>
        <w:t>Array antenna receiver characteristics</w:t>
      </w:r>
      <w:bookmarkStart w:id="1" w:name="_GoBack"/>
      <w:bookmarkEnd w:id="1"/>
    </w:p>
    <w:p w:rsidR="003B61A8" w:rsidRPr="0062745C" w:rsidRDefault="003B61A8" w:rsidP="003B61A8">
      <w:pPr>
        <w:spacing w:after="120"/>
        <w:ind w:left="1985" w:hanging="1985"/>
        <w:rPr>
          <w:rFonts w:ascii="Arial" w:hAnsi="Arial" w:cs="Arial"/>
          <w:bCs/>
          <w:color w:val="FF0000"/>
          <w:lang w:val="en-US"/>
        </w:rPr>
      </w:pPr>
      <w:r w:rsidRPr="0062745C">
        <w:rPr>
          <w:rFonts w:ascii="Arial" w:hAnsi="Arial" w:cs="Arial"/>
          <w:b/>
          <w:lang w:val="en-US"/>
        </w:rPr>
        <w:t>Agenda item:</w:t>
      </w:r>
      <w:r w:rsidRPr="0062745C">
        <w:rPr>
          <w:rFonts w:ascii="Arial" w:hAnsi="Arial" w:cs="Arial"/>
          <w:b/>
          <w:lang w:val="en-US"/>
        </w:rPr>
        <w:tab/>
      </w:r>
      <w:r w:rsidR="00CF42C5">
        <w:rPr>
          <w:rFonts w:ascii="Arial" w:hAnsi="Arial" w:cs="Arial"/>
          <w:bCs/>
          <w:lang w:val="en-US"/>
        </w:rPr>
        <w:t>9</w:t>
      </w:r>
      <w:r w:rsidR="007F0635" w:rsidRPr="0062745C">
        <w:rPr>
          <w:rFonts w:ascii="Arial" w:hAnsi="Arial" w:cs="Arial"/>
          <w:bCs/>
          <w:lang w:val="en-US"/>
        </w:rPr>
        <w:t>.</w:t>
      </w:r>
      <w:r w:rsidR="00ED050C">
        <w:rPr>
          <w:rFonts w:ascii="Arial" w:hAnsi="Arial" w:cs="Arial"/>
          <w:bCs/>
          <w:lang w:val="en-US"/>
        </w:rPr>
        <w:t>4.4.1.2</w:t>
      </w:r>
    </w:p>
    <w:p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rsidR="003B61A8" w:rsidRDefault="003B61A8"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Introduction</w:t>
      </w:r>
    </w:p>
    <w:p w:rsidR="001E62AA" w:rsidRDefault="0062745C" w:rsidP="0062745C">
      <w:pPr>
        <w:pStyle w:val="BodyText"/>
      </w:pPr>
      <w:r>
        <w:t>At the last RAN4 meeting (RAN4#</w:t>
      </w:r>
      <w:r w:rsidR="00910C42">
        <w:t xml:space="preserve">84bis </w:t>
      </w:r>
      <w:r>
        <w:t xml:space="preserve">in </w:t>
      </w:r>
      <w:r w:rsidR="00910C42">
        <w:t>Dubrovnik</w:t>
      </w:r>
      <w:r>
        <w:t>)</w:t>
      </w:r>
      <w:r w:rsidR="00910C42">
        <w:t xml:space="preserve"> the procedure required to derive the OTA reference sensitivity level for FR2 </w:t>
      </w:r>
      <w:r w:rsidR="00ED050C">
        <w:t>UE</w:t>
      </w:r>
      <w:r w:rsidR="00910C42">
        <w:t xml:space="preserve"> was discussed </w:t>
      </w:r>
      <w:r w:rsidR="00ED050C">
        <w:t>without consensus</w:t>
      </w:r>
      <w:r w:rsidR="00910C42">
        <w:t xml:space="preserve">. In general, the capability to receive transmissions with weak signal levels is determined by the system noise figure, </w:t>
      </w:r>
      <w:proofErr w:type="spellStart"/>
      <w:r w:rsidR="00910C42">
        <w:t>F</w:t>
      </w:r>
      <w:r w:rsidR="00910C42" w:rsidRPr="009F5D78">
        <w:rPr>
          <w:vertAlign w:val="subscript"/>
        </w:rPr>
        <w:t>sys</w:t>
      </w:r>
      <w:proofErr w:type="spellEnd"/>
      <w:r w:rsidR="00910C42">
        <w:t xml:space="preserve"> and array gain, </w:t>
      </w:r>
      <w:proofErr w:type="spellStart"/>
      <w:r w:rsidR="00910C42">
        <w:t>G</w:t>
      </w:r>
      <w:r w:rsidR="00910C42" w:rsidRPr="009F5D78">
        <w:rPr>
          <w:vertAlign w:val="subscript"/>
        </w:rPr>
        <w:t>sys</w:t>
      </w:r>
      <w:proofErr w:type="spellEnd"/>
      <w:r w:rsidR="00910C42">
        <w:t xml:space="preserve">. </w:t>
      </w:r>
      <w:r w:rsidR="00EB7BAF">
        <w:t xml:space="preserve">Assuming </w:t>
      </w:r>
      <w:proofErr w:type="spellStart"/>
      <w:r w:rsidR="00EB7BAF">
        <w:t>F</w:t>
      </w:r>
      <w:r w:rsidR="00EB7BAF" w:rsidRPr="009F5D78">
        <w:rPr>
          <w:vertAlign w:val="subscript"/>
        </w:rPr>
        <w:t>sys</w:t>
      </w:r>
      <w:proofErr w:type="spellEnd"/>
      <w:r w:rsidR="00EB7BAF">
        <w:t xml:space="preserve"> being the noise figure per branch and </w:t>
      </w:r>
      <w:proofErr w:type="spellStart"/>
      <w:r w:rsidR="00EB7BAF">
        <w:t>G</w:t>
      </w:r>
      <w:r w:rsidR="00EB7BAF" w:rsidRPr="009F5D78">
        <w:rPr>
          <w:vertAlign w:val="subscript"/>
        </w:rPr>
        <w:t>sys</w:t>
      </w:r>
      <w:proofErr w:type="spellEnd"/>
      <w:r w:rsidR="00EB7BAF">
        <w:t xml:space="preserve"> being the array gain, results in describing the </w:t>
      </w:r>
      <w:r w:rsidR="009F5D78">
        <w:t>lower</w:t>
      </w:r>
      <w:r w:rsidR="00EB7BAF">
        <w:t xml:space="preserve"> bound of achievable </w:t>
      </w:r>
      <w:r w:rsidR="009F5D78">
        <w:t xml:space="preserve">sensitivity </w:t>
      </w:r>
      <w:r w:rsidR="00EB7BAF">
        <w:t xml:space="preserve">performance. Careful considerations are needing to determine a minimum requirement level for OTA reference sensitivity. If not, the requirement will be a very tight requirement describing the up bound on performance for a specific implementation. </w:t>
      </w:r>
      <w:r w:rsidR="00910C42">
        <w:t xml:space="preserve">   </w:t>
      </w:r>
    </w:p>
    <w:p w:rsidR="00F134A0" w:rsidRPr="007D610C" w:rsidRDefault="00EB7BAF" w:rsidP="0062745C">
      <w:pPr>
        <w:pStyle w:val="BodyText"/>
      </w:pPr>
      <w:r>
        <w:t>In this contribution we present a more thorough analysis on how EIS relates to array size and other aspects relevant for FR2.</w:t>
      </w:r>
    </w:p>
    <w:p w:rsidR="003B61A8" w:rsidRDefault="003B61A8"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Discussion</w:t>
      </w:r>
    </w:p>
    <w:p w:rsidR="00700773" w:rsidRDefault="00700773" w:rsidP="0062745C">
      <w:pPr>
        <w:pStyle w:val="BodyText"/>
      </w:pPr>
      <w:r>
        <w:t>This contribution presents an overview of array antenna theory with focus on power gain achieved using beamforming and related</w:t>
      </w:r>
      <w:r w:rsidRPr="00BB4556">
        <w:t xml:space="preserve"> losses for non-idea</w:t>
      </w:r>
      <w:r>
        <w:t>l</w:t>
      </w:r>
      <w:r w:rsidRPr="00BB4556">
        <w:t xml:space="preserve"> </w:t>
      </w:r>
      <w:r>
        <w:t>array antenna implementation.</w:t>
      </w:r>
    </w:p>
    <w:p w:rsidR="00EB7BAF" w:rsidRDefault="00AB327F" w:rsidP="0062745C">
      <w:pPr>
        <w:pStyle w:val="BodyText"/>
      </w:pPr>
      <w:r>
        <w:t xml:space="preserve">An array antenna consists of N antenna elements, where each element is routed to receiver front-end branch. For the </w:t>
      </w:r>
      <w:proofErr w:type="gramStart"/>
      <w:r w:rsidR="007F0635">
        <w:t>down</w:t>
      </w:r>
      <w:r>
        <w:t>-link</w:t>
      </w:r>
      <w:proofErr w:type="gramEnd"/>
      <w:r>
        <w:t xml:space="preserve">, the array gain is created in a summation point where signals and noise from all receiver branches, as showed in Figure 2.1. The principle </w:t>
      </w:r>
      <w:r w:rsidR="00700773">
        <w:t>architecture</w:t>
      </w:r>
      <w:r>
        <w:t xml:space="preserve"> is just an example, different types of implementations exists with respect to the location</w:t>
      </w:r>
      <w:r w:rsidR="00700773">
        <w:t>s</w:t>
      </w:r>
      <w:r>
        <w:t xml:space="preserve"> of frequency </w:t>
      </w:r>
      <w:r w:rsidR="00700773">
        <w:t>down-</w:t>
      </w:r>
      <w:r>
        <w:t xml:space="preserve">conversion and </w:t>
      </w:r>
      <w:r w:rsidR="00700773">
        <w:t>analogue</w:t>
      </w:r>
      <w:r>
        <w:t>-to-digital conversions</w:t>
      </w:r>
      <w:r w:rsidR="00700773">
        <w:t>.</w:t>
      </w:r>
      <w:r>
        <w:t xml:space="preserve"> </w:t>
      </w:r>
    </w:p>
    <w:p w:rsidR="00EB7BAF" w:rsidRDefault="00ED050C" w:rsidP="0062745C">
      <w:pPr>
        <w:pStyle w:val="BodyText"/>
      </w:pPr>
      <w:r w:rsidRPr="00AB327F">
        <w:rPr>
          <w:noProof/>
          <w:lang w:val="en-US" w:eastAsia="ja-JP"/>
        </w:rPr>
        <w:drawing>
          <wp:inline distT="0" distB="0" distL="0" distR="0">
            <wp:extent cx="5264150" cy="2978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4150" cy="2978150"/>
                    </a:xfrm>
                    <a:prstGeom prst="rect">
                      <a:avLst/>
                    </a:prstGeom>
                    <a:noFill/>
                    <a:ln>
                      <a:noFill/>
                    </a:ln>
                  </pic:spPr>
                </pic:pic>
              </a:graphicData>
            </a:graphic>
          </wp:inline>
        </w:drawing>
      </w:r>
    </w:p>
    <w:p w:rsidR="00AB327F" w:rsidRDefault="00AB327F" w:rsidP="00AB327F">
      <w:pPr>
        <w:pStyle w:val="TF"/>
      </w:pPr>
      <w:r>
        <w:rPr>
          <w:lang w:eastAsia="ja-JP"/>
        </w:rPr>
        <w:t xml:space="preserve">Figure </w:t>
      </w:r>
      <w:r>
        <w:t xml:space="preserve">2.1: Principle architecture </w:t>
      </w:r>
    </w:p>
    <w:p w:rsidR="00EB7BAF" w:rsidRDefault="00700773" w:rsidP="0062745C">
      <w:pPr>
        <w:pStyle w:val="BodyText"/>
      </w:pPr>
      <w:r>
        <w:t xml:space="preserve">For simplicity it is assumed that all branches are equal in terms of </w:t>
      </w:r>
      <w:proofErr w:type="spellStart"/>
      <w:r>
        <w:t>G</w:t>
      </w:r>
      <w:r w:rsidRPr="009F5D78">
        <w:rPr>
          <w:vertAlign w:val="subscript"/>
        </w:rPr>
        <w:t>E</w:t>
      </w:r>
      <w:proofErr w:type="gramStart"/>
      <w:r w:rsidRPr="009F5D78">
        <w:rPr>
          <w:vertAlign w:val="subscript"/>
        </w:rPr>
        <w:t>,n</w:t>
      </w:r>
      <w:proofErr w:type="spellEnd"/>
      <w:proofErr w:type="gramEnd"/>
      <w:r>
        <w:t>, G</w:t>
      </w:r>
      <w:r w:rsidRPr="009F5D78">
        <w:rPr>
          <w:vertAlign w:val="subscript"/>
        </w:rPr>
        <w:t>1,n</w:t>
      </w:r>
      <w:r>
        <w:t>, F</w:t>
      </w:r>
      <w:r w:rsidRPr="009F5D78">
        <w:rPr>
          <w:vertAlign w:val="subscript"/>
        </w:rPr>
        <w:t>1,n</w:t>
      </w:r>
      <w:r>
        <w:t xml:space="preserve">. Also, all amplitude weights are set to </w:t>
      </w:r>
      <w:proofErr w:type="spellStart"/>
      <w:r>
        <w:t>w</w:t>
      </w:r>
      <w:r w:rsidRPr="009F5D78">
        <w:rPr>
          <w:vertAlign w:val="subscript"/>
        </w:rPr>
        <w:t>n</w:t>
      </w:r>
      <w:proofErr w:type="spellEnd"/>
      <w:r>
        <w:t xml:space="preserve">=1. </w:t>
      </w:r>
    </w:p>
    <w:p w:rsidR="00EB7BAF" w:rsidRDefault="00700773" w:rsidP="0062745C">
      <w:pPr>
        <w:pStyle w:val="BodyText"/>
      </w:pPr>
      <w:r>
        <w:lastRenderedPageBreak/>
        <w:t>With these assumption, EIS can be determined as:</w:t>
      </w:r>
    </w:p>
    <w:bookmarkStart w:id="2" w:name="_Hlk498069098"/>
    <w:p w:rsidR="00537D39" w:rsidRDefault="00537D39" w:rsidP="0062745C">
      <w:pPr>
        <w:pStyle w:val="BodyText"/>
      </w:pPr>
      <w:r w:rsidRPr="00A4516F">
        <w:rPr>
          <w:position w:val="-10"/>
        </w:rPr>
        <w:object w:dxaOrig="481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17.3pt" o:ole="">
            <v:imagedata r:id="rId10" o:title=""/>
          </v:shape>
          <o:OLEObject Type="Embed" ProgID="Equation.3" ShapeID="_x0000_i1025" DrawAspect="Content" ObjectID="_1572451666" r:id="rId11"/>
        </w:object>
      </w:r>
      <w:bookmarkEnd w:id="2"/>
      <w:r w:rsidR="005B06D7">
        <w:tab/>
      </w:r>
      <w:r w:rsidR="005B06D7">
        <w:tab/>
        <w:t>(Equation 1)</w:t>
      </w:r>
    </w:p>
    <w:p w:rsidR="00CB396B" w:rsidRDefault="00CB396B" w:rsidP="0062745C">
      <w:pPr>
        <w:pStyle w:val="BodyText"/>
      </w:pPr>
      <w:r>
        <w:t xml:space="preserve">, where B is the bandwidth in Hz, F is the noise figure </w:t>
      </w:r>
      <w:r w:rsidR="005B06D7">
        <w:t xml:space="preserve">per receiver branch </w:t>
      </w:r>
      <w:r>
        <w:t xml:space="preserve">in dB, N is </w:t>
      </w:r>
      <w:r w:rsidR="005B06D7">
        <w:t xml:space="preserve">the supported </w:t>
      </w:r>
      <w:r>
        <w:t>number of array elements per polarization and G</w:t>
      </w:r>
      <w:r w:rsidRPr="00A4516F">
        <w:rPr>
          <w:vertAlign w:val="subscript"/>
        </w:rPr>
        <w:t>E</w:t>
      </w:r>
      <w:r>
        <w:t xml:space="preserve"> is the element gain. </w:t>
      </w:r>
    </w:p>
    <w:p w:rsidR="00537D39" w:rsidRDefault="00537D39" w:rsidP="0062745C">
      <w:pPr>
        <w:pStyle w:val="BodyText"/>
      </w:pPr>
      <w:r>
        <w:t>The signal-to-noise ratio at the detector (SNR) is associated to a link quality threshold part of the sensitivity requirement. It is proposed to use 95% throughput for defined type of signal, referred to as fixed reference channel (FRC), as the link quality threshold. This threshold directly relates to a SNR value. Currently, the SNR is not determined for the NR FRC signal</w:t>
      </w:r>
      <w:r w:rsidR="007F0635">
        <w:t xml:space="preserve"> but -1dB per baseband channel is used as working assumption</w:t>
      </w:r>
      <w:r>
        <w:t xml:space="preserve">. </w:t>
      </w:r>
    </w:p>
    <w:p w:rsidR="00700773" w:rsidRDefault="00700773" w:rsidP="0062745C">
      <w:pPr>
        <w:pStyle w:val="BodyText"/>
      </w:pPr>
      <w:r>
        <w:t xml:space="preserve">Equation 1, gives </w:t>
      </w:r>
      <w:r w:rsidR="009F5D78">
        <w:t>a</w:t>
      </w:r>
      <w:r>
        <w:t xml:space="preserve"> lower bound in EIS, for </w:t>
      </w:r>
      <w:r w:rsidR="009F5D78">
        <w:t>an</w:t>
      </w:r>
      <w:r>
        <w:t xml:space="preserve"> implementation assuming N, F and G</w:t>
      </w:r>
      <w:r w:rsidRPr="009F5D78">
        <w:rPr>
          <w:vertAlign w:val="subscript"/>
        </w:rPr>
        <w:t>E</w:t>
      </w:r>
      <w:r>
        <w:t>.</w:t>
      </w:r>
      <w:r w:rsidR="009F5D78">
        <w:t xml:space="preserve"> This model mandates certain implementation by hard wire the element separation to 0.5</w:t>
      </w:r>
      <w:r w:rsidR="009F5D78" w:rsidRPr="009F5D78">
        <w:rPr>
          <w:rFonts w:ascii="Symbol" w:hAnsi="Symbol"/>
        </w:rPr>
        <w:t></w:t>
      </w:r>
      <w:r w:rsidR="009F5D78">
        <w:t xml:space="preserve">. Also, it does not capture scan-loss and system noise figure properly.   </w:t>
      </w:r>
      <w:r>
        <w:t xml:space="preserve"> </w:t>
      </w:r>
    </w:p>
    <w:p w:rsidR="005B06D7" w:rsidRDefault="005B06D7" w:rsidP="0062745C">
      <w:pPr>
        <w:pStyle w:val="BodyText"/>
      </w:pPr>
      <w:r>
        <w:t xml:space="preserve">Since RAN4 now is deriving a minimum requirement EIS level (maximum EIS level in absolute terms) as reference to other </w:t>
      </w:r>
      <w:r w:rsidR="007F0635">
        <w:t>down</w:t>
      </w:r>
      <w:r>
        <w:t xml:space="preserve">-link requirements it is crucial to understand the background. The minimum requirement level will be set </w:t>
      </w:r>
      <w:r w:rsidR="007F0635">
        <w:t>a</w:t>
      </w:r>
      <w:r>
        <w:t xml:space="preserve">s the bore-sight direction as well in other directions, therefore the spatial aspects of EIS needs considerations. Also, at higher frequencies losses due to material and tolerances cannot be neglected. </w:t>
      </w:r>
    </w:p>
    <w:p w:rsidR="00365986" w:rsidRDefault="005B06D7" w:rsidP="0062745C">
      <w:pPr>
        <w:pStyle w:val="BodyText"/>
      </w:pPr>
      <w:r>
        <w:t>The simplified model used in Equation 1 is therefore expanded</w:t>
      </w:r>
      <w:r w:rsidR="00245E29">
        <w:t>:</w:t>
      </w:r>
    </w:p>
    <w:p w:rsidR="00365986" w:rsidRDefault="00245E29" w:rsidP="0062745C">
      <w:pPr>
        <w:pStyle w:val="BodyText"/>
      </w:pPr>
      <w:r w:rsidRPr="00680648">
        <w:rPr>
          <w:position w:val="-12"/>
        </w:rPr>
        <w:object w:dxaOrig="9499" w:dyaOrig="360">
          <v:shape id="_x0000_i1026" type="#_x0000_t75" style="width:475.2pt;height:17.85pt" o:ole="">
            <v:imagedata r:id="rId12" o:title=""/>
          </v:shape>
          <o:OLEObject Type="Embed" ProgID="Equation.3" ShapeID="_x0000_i1026" DrawAspect="Content" ObjectID="_1572451667" r:id="rId13"/>
        </w:object>
      </w:r>
      <w:r w:rsidR="00256415">
        <w:tab/>
      </w:r>
      <w:r w:rsidR="00256415">
        <w:tab/>
        <w:t>(Equation 2)</w:t>
      </w:r>
    </w:p>
    <w:p w:rsidR="005B06D7" w:rsidRDefault="005B06D7" w:rsidP="0062745C">
      <w:pPr>
        <w:pStyle w:val="BodyText"/>
      </w:pPr>
      <w:r>
        <w:t>, where G</w:t>
      </w:r>
      <w:r w:rsidRPr="00A4516F">
        <w:rPr>
          <w:vertAlign w:val="subscript"/>
        </w:rPr>
        <w:t>E</w:t>
      </w:r>
      <w:r>
        <w:t>=D</w:t>
      </w:r>
      <w:r w:rsidRPr="00A4516F">
        <w:rPr>
          <w:vertAlign w:val="subscript"/>
        </w:rPr>
        <w:t>E</w:t>
      </w:r>
      <w:r>
        <w:t>-L</w:t>
      </w:r>
      <w:r w:rsidRPr="00A4516F">
        <w:rPr>
          <w:vertAlign w:val="subscript"/>
        </w:rPr>
        <w:t>E</w:t>
      </w:r>
      <w:r>
        <w:t xml:space="preserve"> (according to IEEE in</w:t>
      </w:r>
      <w:r w:rsidR="00947C72">
        <w:t xml:space="preserve"> </w:t>
      </w:r>
      <w:r w:rsidR="00947C72">
        <w:fldChar w:fldCharType="begin"/>
      </w:r>
      <w:r w:rsidR="00947C72">
        <w:instrText xml:space="preserve"> REF _Ref498703919 \r \h </w:instrText>
      </w:r>
      <w:r w:rsidR="00947C72">
        <w:fldChar w:fldCharType="separate"/>
      </w:r>
      <w:r w:rsidR="00947C72">
        <w:t>[5]</w:t>
      </w:r>
      <w:r w:rsidR="00947C72">
        <w:fldChar w:fldCharType="end"/>
      </w:r>
      <w:r>
        <w:t xml:space="preserve">), </w:t>
      </w:r>
      <w:r w:rsidR="00A4516F">
        <w:t>D</w:t>
      </w:r>
      <w:r w:rsidR="00A4516F" w:rsidRPr="00256415">
        <w:rPr>
          <w:vertAlign w:val="subscript"/>
        </w:rPr>
        <w:t>E</w:t>
      </w:r>
      <w:r w:rsidR="00A4516F">
        <w:t xml:space="preserve"> is the element directivity, L</w:t>
      </w:r>
      <w:r w:rsidR="00A4516F" w:rsidRPr="00256415">
        <w:rPr>
          <w:vertAlign w:val="subscript"/>
        </w:rPr>
        <w:t>E</w:t>
      </w:r>
      <w:r w:rsidR="00A4516F">
        <w:t xml:space="preserve"> is the dissipative loss in the element, </w:t>
      </w:r>
      <w:r>
        <w:t>L</w:t>
      </w:r>
      <w:r w:rsidRPr="00A4516F">
        <w:rPr>
          <w:vertAlign w:val="subscript"/>
        </w:rPr>
        <w:t>S</w:t>
      </w:r>
      <w:r>
        <w:t xml:space="preserve"> is a directivity scan-loss factor due to steering, L</w:t>
      </w:r>
      <w:r w:rsidRPr="00A4516F">
        <w:rPr>
          <w:vertAlign w:val="subscript"/>
        </w:rPr>
        <w:t>R</w:t>
      </w:r>
      <w:r>
        <w:t xml:space="preserve"> is a loss factor related to radome losses, L</w:t>
      </w:r>
      <w:r w:rsidRPr="00256415">
        <w:rPr>
          <w:vertAlign w:val="subscript"/>
        </w:rPr>
        <w:t>P</w:t>
      </w:r>
      <w:r>
        <w:t xml:space="preserve"> is a polarization loss</w:t>
      </w:r>
      <w:r w:rsidR="00A35D18">
        <w:t>, L</w:t>
      </w:r>
      <w:r w:rsidR="00A35D18" w:rsidRPr="00256415">
        <w:rPr>
          <w:vertAlign w:val="subscript"/>
        </w:rPr>
        <w:t>RDN</w:t>
      </w:r>
      <w:r w:rsidR="00A35D18">
        <w:t xml:space="preserve"> is a transmission loss in the feeder network aka RDN</w:t>
      </w:r>
      <w:r w:rsidR="00A4516F">
        <w:t xml:space="preserve"> due to transmission loss and matching loss</w:t>
      </w:r>
      <w:r w:rsidR="00A35D18">
        <w:t xml:space="preserve"> and L</w:t>
      </w:r>
      <w:r w:rsidR="00A35D18" w:rsidRPr="00256415">
        <w:rPr>
          <w:vertAlign w:val="subscript"/>
        </w:rPr>
        <w:t>C</w:t>
      </w:r>
      <w:r w:rsidR="00A35D18">
        <w:t xml:space="preserve"> is a combination loss, due to non-perfect coherent combining. </w:t>
      </w:r>
    </w:p>
    <w:p w:rsidR="009F5D78" w:rsidRDefault="009F5D78" w:rsidP="0062745C">
      <w:pPr>
        <w:pStyle w:val="BodyText"/>
      </w:pPr>
    </w:p>
    <w:p w:rsidR="00537D39" w:rsidRDefault="00537D39" w:rsidP="00390550">
      <w:pPr>
        <w:pStyle w:val="BodyText"/>
        <w:numPr>
          <w:ilvl w:val="1"/>
          <w:numId w:val="5"/>
        </w:numPr>
        <w:tabs>
          <w:tab w:val="left" w:pos="567"/>
        </w:tabs>
        <w:ind w:hanging="720"/>
        <w:rPr>
          <w:rFonts w:ascii="Arial" w:hAnsi="Arial" w:cs="Arial"/>
        </w:rPr>
      </w:pPr>
      <w:r w:rsidRPr="00390550">
        <w:rPr>
          <w:rFonts w:ascii="Arial" w:hAnsi="Arial" w:cs="Arial"/>
        </w:rPr>
        <w:t xml:space="preserve">Array </w:t>
      </w:r>
      <w:r w:rsidR="00744963" w:rsidRPr="00390550">
        <w:rPr>
          <w:rFonts w:ascii="Arial" w:hAnsi="Arial" w:cs="Arial"/>
        </w:rPr>
        <w:t>A</w:t>
      </w:r>
      <w:r w:rsidRPr="00390550">
        <w:rPr>
          <w:rFonts w:ascii="Arial" w:hAnsi="Arial" w:cs="Arial"/>
        </w:rPr>
        <w:t>ntenna</w:t>
      </w:r>
      <w:r w:rsidR="00744963" w:rsidRPr="00390550">
        <w:rPr>
          <w:rFonts w:ascii="Arial" w:hAnsi="Arial" w:cs="Arial"/>
        </w:rPr>
        <w:t xml:space="preserve"> Geometry</w:t>
      </w:r>
    </w:p>
    <w:p w:rsidR="00205C5C" w:rsidRDefault="00245E29" w:rsidP="0062745C">
      <w:pPr>
        <w:pStyle w:val="BodyText"/>
      </w:pPr>
      <w:r>
        <w:t>In the summation point the coherent combining of the wan</w:t>
      </w:r>
      <w:r w:rsidR="00537D39">
        <w:t xml:space="preserve">ted signal </w:t>
      </w:r>
      <w:r w:rsidR="00390550">
        <w:t xml:space="preserve">and non-coherent combining of the noise </w:t>
      </w:r>
      <w:r w:rsidR="00537D39">
        <w:t xml:space="preserve">results </w:t>
      </w:r>
      <w:r w:rsidR="00390550">
        <w:t xml:space="preserve">in </w:t>
      </w:r>
      <w:r w:rsidR="00537D39">
        <w:t>a directivity</w:t>
      </w:r>
      <w:r>
        <w:t xml:space="preserve"> growth </w:t>
      </w:r>
      <w:r w:rsidR="00537D39">
        <w:t>of 10log(N), where N is the number of branches</w:t>
      </w:r>
      <w:r w:rsidR="00390550">
        <w:t>. However, this is only true</w:t>
      </w:r>
      <w:r w:rsidR="00537D39">
        <w:t xml:space="preserve"> for element separation equal to 0.5</w:t>
      </w:r>
      <w:r w:rsidR="00537D39" w:rsidRPr="00A4516F">
        <w:rPr>
          <w:rFonts w:ascii="Symbol" w:hAnsi="Symbol"/>
        </w:rPr>
        <w:t></w:t>
      </w:r>
      <w:r w:rsidR="00537D39">
        <w:t>, assuming perfect combination of the wanted signal. Due to mutual coupling effects in the array antenna, the element directivity D</w:t>
      </w:r>
      <w:r w:rsidR="00537D39" w:rsidRPr="00A4516F">
        <w:rPr>
          <w:vertAlign w:val="subscript"/>
        </w:rPr>
        <w:t>E</w:t>
      </w:r>
      <w:r w:rsidR="00537D39">
        <w:t xml:space="preserve"> at 0.5</w:t>
      </w:r>
      <w:r w:rsidR="00537D39" w:rsidRPr="00A4516F">
        <w:rPr>
          <w:rFonts w:ascii="Symbol" w:hAnsi="Symbol"/>
        </w:rPr>
        <w:t></w:t>
      </w:r>
      <w:r w:rsidR="00537D39">
        <w:t xml:space="preserve"> separation must be considered</w:t>
      </w:r>
      <w:r w:rsidR="00390550">
        <w:t>,</w:t>
      </w:r>
      <w:r w:rsidR="00CC51EC">
        <w:t xml:space="preserve"> </w:t>
      </w:r>
      <w:r w:rsidR="00390550">
        <w:t>a</w:t>
      </w:r>
      <w:r w:rsidR="00CC51EC">
        <w:t>s described in TR 38.803, Annex C</w:t>
      </w:r>
      <w:r w:rsidR="00390550">
        <w:t xml:space="preserve">. </w:t>
      </w:r>
    </w:p>
    <w:p w:rsidR="009B4CA8" w:rsidRDefault="00205C5C" w:rsidP="00EA4A23">
      <w:pPr>
        <w:pStyle w:val="BodyText"/>
      </w:pPr>
      <w:r>
        <w:t xml:space="preserve">The half-power beam-widths (e.g. </w:t>
      </w:r>
      <w:proofErr w:type="spellStart"/>
      <w:r w:rsidR="002F6ADE">
        <w:t>BW</w:t>
      </w:r>
      <w:r w:rsidR="002F6ADE" w:rsidRPr="00205C5C">
        <w:rPr>
          <w:vertAlign w:val="subscript"/>
        </w:rPr>
        <w:t>v</w:t>
      </w:r>
      <w:proofErr w:type="spellEnd"/>
      <w:r w:rsidR="002F6ADE">
        <w:t xml:space="preserve"> as the vertical half-power beam-width and </w:t>
      </w:r>
      <w:proofErr w:type="spellStart"/>
      <w:r w:rsidR="002F6ADE">
        <w:t>BW</w:t>
      </w:r>
      <w:r w:rsidR="002F6ADE" w:rsidRPr="00205C5C">
        <w:rPr>
          <w:vertAlign w:val="subscript"/>
        </w:rPr>
        <w:t>h</w:t>
      </w:r>
      <w:proofErr w:type="spellEnd"/>
      <w:r w:rsidR="002F6ADE">
        <w:t xml:space="preserve"> as the horizontal half-power beam-width</w:t>
      </w:r>
      <w:r>
        <w:t xml:space="preserve">) can </w:t>
      </w:r>
      <w:r w:rsidR="002F6ADE">
        <w:t xml:space="preserve">be used to </w:t>
      </w:r>
      <w:r>
        <w:t>estimate the element</w:t>
      </w:r>
      <w:r w:rsidR="00390550">
        <w:t xml:space="preserve">. </w:t>
      </w:r>
      <w:r>
        <w:t>Assuming 90 degrees symmetrical half-power beam-widths</w:t>
      </w:r>
      <w:r w:rsidR="00316D3E">
        <w:t xml:space="preserve"> (e.g. a typical patch element)</w:t>
      </w:r>
      <w:r>
        <w:t>, the element directivity is 6 dBi. The dissipative loss L</w:t>
      </w:r>
      <w:r w:rsidRPr="00205C5C">
        <w:rPr>
          <w:vertAlign w:val="subscript"/>
        </w:rPr>
        <w:t>E</w:t>
      </w:r>
      <w:r>
        <w:t xml:space="preserve">, for a patch element designed in materials suitable for </w:t>
      </w:r>
      <w:r w:rsidR="00C0073B">
        <w:t>a handheld UE</w:t>
      </w:r>
      <w:r>
        <w:t xml:space="preserve"> </w:t>
      </w:r>
      <w:r w:rsidR="00381F42">
        <w:t>is in the range 0.5 to 1 dB</w:t>
      </w:r>
      <w:r w:rsidR="006134B7">
        <w:t xml:space="preserve"> for array antenna operating at </w:t>
      </w:r>
      <w:r w:rsidR="00983E0A">
        <w:t xml:space="preserve">28 </w:t>
      </w:r>
      <w:r w:rsidR="006134B7">
        <w:t xml:space="preserve">GHz. </w:t>
      </w:r>
    </w:p>
    <w:p w:rsidR="00530D70" w:rsidRDefault="00530D70" w:rsidP="00530D70">
      <w:pPr>
        <w:pStyle w:val="BodyText"/>
      </w:pPr>
      <w:r>
        <w:t>Since elements are located close to each other the radiation characteristics for individual elements will not be the same in the whole array. When elements are placed at their dedicated location in the array the radiation pattern will be distorted due to mutual coupling. That means the element directivity, cannot be seen independent of the element separation. The element separation also relates to radiation characteristics by means of spatial sampling resolution. Typically, for an array implementation where the element separation is larger than 0.5</w:t>
      </w:r>
      <w:r w:rsidRPr="00256415">
        <w:rPr>
          <w:rFonts w:ascii="Symbol" w:hAnsi="Symbol"/>
        </w:rPr>
        <w:t></w:t>
      </w:r>
      <w:r w:rsidR="002F6ADE">
        <w:t xml:space="preserve"> will</w:t>
      </w:r>
      <w:r>
        <w:t xml:space="preserve"> resulting in less spatial selectivity due to growth of grating lobes</w:t>
      </w:r>
      <w:r w:rsidR="002F6ADE">
        <w:t xml:space="preserve">. On the other hand, for an array with a </w:t>
      </w:r>
      <w:r w:rsidR="00B200AA">
        <w:t>separation equal to or smaller than 0.5</w:t>
      </w:r>
      <w:r w:rsidR="00B200AA" w:rsidRPr="00256415">
        <w:rPr>
          <w:rFonts w:ascii="Symbol" w:hAnsi="Symbol"/>
        </w:rPr>
        <w:t></w:t>
      </w:r>
      <w:r w:rsidR="00B200AA">
        <w:rPr>
          <w:rFonts w:ascii="Symbol" w:hAnsi="Symbol"/>
        </w:rPr>
        <w:t></w:t>
      </w:r>
      <w:r w:rsidR="00B200AA">
        <w:t>will</w:t>
      </w:r>
      <w:r w:rsidR="002F47CC">
        <w:t xml:space="preserve"> result</w:t>
      </w:r>
      <w:r w:rsidR="00B200AA">
        <w:t xml:space="preserve"> in increased losses due to mutual coupling.</w:t>
      </w:r>
    </w:p>
    <w:p w:rsidR="00530D70" w:rsidRDefault="00530D70" w:rsidP="00530D70">
      <w:pPr>
        <w:pStyle w:val="BodyText"/>
      </w:pPr>
      <w:r>
        <w:t>Generally, the maximum steering without grating lobes can be expressed as:</w:t>
      </w:r>
    </w:p>
    <w:p w:rsidR="00530D70" w:rsidRDefault="00205C5C" w:rsidP="00530D70">
      <w:pPr>
        <w:pStyle w:val="BodyText"/>
      </w:pPr>
      <w:r w:rsidRPr="00205C5C">
        <w:rPr>
          <w:position w:val="-30"/>
        </w:rPr>
        <w:object w:dxaOrig="1700" w:dyaOrig="680">
          <v:shape id="_x0000_i1027" type="#_x0000_t75" style="width:85.25pt;height:34pt" o:ole="">
            <v:imagedata r:id="rId14" o:title=""/>
          </v:shape>
          <o:OLEObject Type="Embed" ProgID="Equation.3" ShapeID="_x0000_i1027" DrawAspect="Content" ObjectID="_1572451668" r:id="rId15"/>
        </w:object>
      </w:r>
      <w:r>
        <w:tab/>
      </w:r>
      <w:r>
        <w:tab/>
        <w:t>(Equation 4)</w:t>
      </w:r>
    </w:p>
    <w:p w:rsidR="00530D70" w:rsidRDefault="00530D70" w:rsidP="00530D70">
      <w:pPr>
        <w:pStyle w:val="BodyText"/>
      </w:pPr>
      <w:r>
        <w:t xml:space="preserve">, where d is the element separation and </w:t>
      </w:r>
      <w:r w:rsidRPr="00256415">
        <w:rPr>
          <w:rFonts w:ascii="Symbol" w:hAnsi="Symbol"/>
        </w:rPr>
        <w:t></w:t>
      </w:r>
      <w:r w:rsidRPr="00256415">
        <w:rPr>
          <w:vertAlign w:val="subscript"/>
        </w:rPr>
        <w:t>max</w:t>
      </w:r>
      <w:r>
        <w:t xml:space="preserve"> is the maximal steering angle (along one dimension).</w:t>
      </w:r>
    </w:p>
    <w:p w:rsidR="00863A7C" w:rsidRDefault="00530D70" w:rsidP="00530D70">
      <w:pPr>
        <w:pStyle w:val="BodyText"/>
      </w:pPr>
      <w:r>
        <w:t>If the spatial sampling criterion is not fulfilled folding effect</w:t>
      </w:r>
      <w:r w:rsidR="00205C5C">
        <w:t>s</w:t>
      </w:r>
      <w:r>
        <w:t xml:space="preserve"> will occur creating a grating lobe response. Therefore, the element separation often is set close to 0.5</w:t>
      </w:r>
      <w:r w:rsidRPr="00256415">
        <w:rPr>
          <w:rFonts w:ascii="Symbol" w:hAnsi="Symbol"/>
        </w:rPr>
        <w:t></w:t>
      </w:r>
      <w:r w:rsidRPr="00256415">
        <w:rPr>
          <w:rFonts w:ascii="Symbol" w:hAnsi="Symbol"/>
        </w:rPr>
        <w:t></w:t>
      </w:r>
      <w:r>
        <w:t>for system using large steering angles. However, when the elements are close</w:t>
      </w:r>
      <w:r w:rsidR="002F47CC">
        <w:t>,</w:t>
      </w:r>
      <w:r>
        <w:t xml:space="preserve"> the interaction between them is more severe, which results in ripple in radiation pattern per element level. Therefore, the element beam</w:t>
      </w:r>
      <w:r w:rsidR="00316D3E">
        <w:t xml:space="preserve"> </w:t>
      </w:r>
      <w:r>
        <w:t xml:space="preserve">width will be different. The element directivity is dependent on the element aperture which is of course </w:t>
      </w:r>
      <w:r w:rsidR="00863A7C">
        <w:t>affected</w:t>
      </w:r>
      <w:r>
        <w:t xml:space="preserve"> by the element spacing, i.e. a 0.7</w:t>
      </w:r>
      <w:r w:rsidRPr="00256415">
        <w:rPr>
          <w:rFonts w:ascii="Symbol" w:hAnsi="Symbol"/>
        </w:rPr>
        <w:t></w:t>
      </w:r>
      <w:r>
        <w:t xml:space="preserve"> element cannot be spaced at 0.5</w:t>
      </w:r>
      <w:r w:rsidRPr="00256415">
        <w:rPr>
          <w:rFonts w:ascii="Symbol" w:hAnsi="Symbol"/>
        </w:rPr>
        <w:t></w:t>
      </w:r>
      <w:r>
        <w:t xml:space="preserve">. Hence the interaction between element separation and element radiation characteristics is a delicate challenge to resolve. The consequence of grating lobes is that energy will be spread in unintended direction, this may or may not be harmful for the system from an </w:t>
      </w:r>
      <w:r>
        <w:lastRenderedPageBreak/>
        <w:t>interference perspective</w:t>
      </w:r>
      <w:r w:rsidR="002F47CC">
        <w:t xml:space="preserve"> but maybe more important is that</w:t>
      </w:r>
      <w:r>
        <w:t xml:space="preserve"> the power in the intended direction drops because of large grating lobes. From a system design perspective, grating lobes, and the fact that the effective antenna area is reduced due to projection will reduce the directivity. This phenomenon is referred to as scan-loss. </w:t>
      </w:r>
    </w:p>
    <w:p w:rsidR="00EF1B7B" w:rsidRDefault="00EF1B7B" w:rsidP="00EF1B7B">
      <w:pPr>
        <w:pStyle w:val="BodyText"/>
      </w:pPr>
    </w:p>
    <w:p w:rsidR="00863A7C" w:rsidRDefault="00863A7C" w:rsidP="00EF1B7B">
      <w:pPr>
        <w:pStyle w:val="BodyText"/>
        <w:numPr>
          <w:ilvl w:val="1"/>
          <w:numId w:val="5"/>
        </w:numPr>
        <w:tabs>
          <w:tab w:val="left" w:pos="567"/>
        </w:tabs>
        <w:ind w:hanging="720"/>
        <w:rPr>
          <w:rFonts w:ascii="Arial" w:hAnsi="Arial" w:cs="Arial"/>
        </w:rPr>
      </w:pPr>
      <w:bookmarkStart w:id="3" w:name="_Hlk498070342"/>
      <w:r>
        <w:rPr>
          <w:rFonts w:ascii="Arial" w:hAnsi="Arial" w:cs="Arial"/>
        </w:rPr>
        <w:t>Polarization</w:t>
      </w:r>
    </w:p>
    <w:bookmarkEnd w:id="3"/>
    <w:p w:rsidR="00957ABF" w:rsidRDefault="00256415" w:rsidP="00530D70">
      <w:pPr>
        <w:pStyle w:val="BodyText"/>
      </w:pPr>
      <w:r>
        <w:t xml:space="preserve">To secure the receiver characteristics, the </w:t>
      </w:r>
      <w:r w:rsidR="00957ABF">
        <w:t xml:space="preserve">polarization properties need to be taken into account. A UE for NR FR2 is mandated to have two receiver chains </w:t>
      </w:r>
      <w:r w:rsidR="00957ABF">
        <w:fldChar w:fldCharType="begin"/>
      </w:r>
      <w:r w:rsidR="00957ABF">
        <w:instrText xml:space="preserve"> REF _Ref498695940 \r \h </w:instrText>
      </w:r>
      <w:r w:rsidR="00957ABF">
        <w:fldChar w:fldCharType="separate"/>
      </w:r>
      <w:r w:rsidR="00957ABF">
        <w:t>[1]</w:t>
      </w:r>
      <w:r w:rsidR="00957ABF">
        <w:fldChar w:fldCharType="end"/>
      </w:r>
      <w:r w:rsidR="00957ABF">
        <w:t xml:space="preserve"> however it is not mandated those two paths are connected to antennas with orthogonal polarisation. Diversity performance could rely on polarization diversity as well as pattern diversity. One could argue polarization diversity has advantages in a real environment for mmWave since the line-of-site is stronger</w:t>
      </w:r>
      <w:r w:rsidR="00316D3E">
        <w:t>.</w:t>
      </w:r>
      <w:r w:rsidR="00316D3E">
        <w:t xml:space="preserve"> </w:t>
      </w:r>
      <w:r w:rsidR="00316D3E">
        <w:t>H</w:t>
      </w:r>
      <w:r w:rsidR="00957ABF">
        <w:t xml:space="preserve">owever, in a rich environment e.g. the indoor case the antenna systems designed for pattern diversity is advantageous. </w:t>
      </w:r>
      <w:r w:rsidR="008345FB">
        <w:t>A simulation of two antenna systems</w:t>
      </w:r>
      <w:r w:rsidR="00316D3E" w:rsidRPr="00316D3E">
        <w:t xml:space="preserve"> </w:t>
      </w:r>
      <w:r w:rsidR="00316D3E">
        <w:t>in a real environment</w:t>
      </w:r>
      <w:r w:rsidR="008345FB">
        <w:t>, designed for polarization diversity respectively for pattern diversity, was</w:t>
      </w:r>
      <w:r w:rsidR="00957ABF">
        <w:t xml:space="preserve"> shown in </w:t>
      </w:r>
      <w:r w:rsidR="008345FB">
        <w:fldChar w:fldCharType="begin"/>
      </w:r>
      <w:r w:rsidR="008345FB">
        <w:instrText xml:space="preserve"> REF _Ref498698449 \r \h </w:instrText>
      </w:r>
      <w:r w:rsidR="008345FB">
        <w:fldChar w:fldCharType="separate"/>
      </w:r>
      <w:r w:rsidR="008345FB">
        <w:t>[3]</w:t>
      </w:r>
      <w:r w:rsidR="008345FB">
        <w:fldChar w:fldCharType="end"/>
      </w:r>
      <w:r w:rsidR="00957ABF">
        <w:t>.</w:t>
      </w:r>
      <w:r w:rsidR="008345FB">
        <w:t xml:space="preserve"> </w:t>
      </w:r>
      <w:r w:rsidR="008345FB" w:rsidRPr="008345FB">
        <w:t xml:space="preserve">Taking the relative small difference </w:t>
      </w:r>
      <w:r w:rsidR="008345FB">
        <w:t xml:space="preserve">between the two </w:t>
      </w:r>
      <w:r w:rsidR="00316D3E">
        <w:t xml:space="preserve">antenna systems </w:t>
      </w:r>
      <w:r w:rsidR="008345FB" w:rsidRPr="008345FB">
        <w:t xml:space="preserve">into account and the fact that antenna design and configuration are tightly connected to </w:t>
      </w:r>
      <w:r w:rsidR="00316D3E">
        <w:t xml:space="preserve">UE </w:t>
      </w:r>
      <w:r w:rsidR="008345FB" w:rsidRPr="008345FB">
        <w:t xml:space="preserve">form factor and industrial design it </w:t>
      </w:r>
      <w:r w:rsidR="00316D3E">
        <w:t>wa</w:t>
      </w:r>
      <w:r w:rsidR="008345FB" w:rsidRPr="008345FB">
        <w:t>s suggested to leave as much as possible freedom to the device manufacturer when it comes to antenna configuration.</w:t>
      </w:r>
      <w:r w:rsidR="008345FB">
        <w:t xml:space="preserve"> Having said that</w:t>
      </w:r>
      <w:r w:rsidR="003A6E30">
        <w:t>,</w:t>
      </w:r>
      <w:r w:rsidR="008345FB">
        <w:t xml:space="preserve"> it is strongly recommended to define the conformance test in a way </w:t>
      </w:r>
      <w:r w:rsidR="003A6E30">
        <w:t xml:space="preserve">not being </w:t>
      </w:r>
      <w:r w:rsidR="0092165E">
        <w:t>disadvantageous for any</w:t>
      </w:r>
      <w:r w:rsidR="008345FB">
        <w:t xml:space="preserve"> of the antenna design principles</w:t>
      </w:r>
      <w:r w:rsidR="0092165E">
        <w:t xml:space="preserve">. Further aspects of polarization is described in </w:t>
      </w:r>
      <w:r w:rsidR="00947C72">
        <w:fldChar w:fldCharType="begin"/>
      </w:r>
      <w:r w:rsidR="00947C72">
        <w:instrText xml:space="preserve"> REF _Ref498699343 \r \h </w:instrText>
      </w:r>
      <w:r w:rsidR="00947C72">
        <w:fldChar w:fldCharType="separate"/>
      </w:r>
      <w:r w:rsidR="00947C72">
        <w:t>[2]</w:t>
      </w:r>
      <w:r w:rsidR="00947C72">
        <w:fldChar w:fldCharType="end"/>
      </w:r>
      <w:r w:rsidR="0092165E">
        <w:fldChar w:fldCharType="begin"/>
      </w:r>
      <w:r w:rsidR="0092165E">
        <w:instrText xml:space="preserve"> REF _Ref498699343 \r \h </w:instrText>
      </w:r>
      <w:r w:rsidR="0092165E">
        <w:fldChar w:fldCharType="end"/>
      </w:r>
      <w:r w:rsidR="0092165E">
        <w:t>.</w:t>
      </w:r>
    </w:p>
    <w:p w:rsidR="00E50585" w:rsidRDefault="00E50585" w:rsidP="00530D70">
      <w:pPr>
        <w:pStyle w:val="BodyText"/>
      </w:pPr>
    </w:p>
    <w:p w:rsidR="00EF1B7B" w:rsidRDefault="00EF1B7B" w:rsidP="00EF1B7B">
      <w:pPr>
        <w:pStyle w:val="BodyText"/>
        <w:numPr>
          <w:ilvl w:val="1"/>
          <w:numId w:val="5"/>
        </w:numPr>
        <w:tabs>
          <w:tab w:val="left" w:pos="567"/>
        </w:tabs>
        <w:ind w:hanging="720"/>
        <w:rPr>
          <w:rFonts w:ascii="Arial" w:hAnsi="Arial" w:cs="Arial"/>
        </w:rPr>
      </w:pPr>
      <w:r>
        <w:rPr>
          <w:rFonts w:ascii="Arial" w:hAnsi="Arial" w:cs="Arial"/>
        </w:rPr>
        <w:t>Beam</w:t>
      </w:r>
      <w:r w:rsidR="00316D3E">
        <w:rPr>
          <w:rFonts w:ascii="Arial" w:hAnsi="Arial" w:cs="Arial"/>
        </w:rPr>
        <w:t xml:space="preserve"> Pointing Loss</w:t>
      </w:r>
    </w:p>
    <w:p w:rsidR="00AD03DA" w:rsidRDefault="001B4781" w:rsidP="00530D70">
      <w:pPr>
        <w:pStyle w:val="BodyText"/>
      </w:pPr>
      <w:r>
        <w:t>For syst</w:t>
      </w:r>
      <w:r w:rsidR="00F20F8D">
        <w:t xml:space="preserve">ems operating with a </w:t>
      </w:r>
      <w:r w:rsidR="00C35136">
        <w:t xml:space="preserve">set of fixed </w:t>
      </w:r>
      <w:r w:rsidR="00F20F8D">
        <w:t>beams</w:t>
      </w:r>
      <w:r w:rsidR="00F16E95">
        <w:t xml:space="preserve"> the directivity for a certain direction is varying depending if the direction is aligned with beam peak direction or to the crossing between beams. This is referred to as </w:t>
      </w:r>
      <w:r w:rsidR="003A6E30">
        <w:t xml:space="preserve">beam pointing </w:t>
      </w:r>
      <w:r w:rsidR="00F16E95">
        <w:t xml:space="preserve">loss. The </w:t>
      </w:r>
      <w:r w:rsidR="003A6E30">
        <w:t xml:space="preserve">beam pointing </w:t>
      </w:r>
      <w:r w:rsidR="00F16E95">
        <w:t>loss is a consequence of switching between a fixed set of beams, which is often used for analogue</w:t>
      </w:r>
      <w:r w:rsidR="003A6E30">
        <w:t>, pre-coder based</w:t>
      </w:r>
      <w:r w:rsidR="00F16E95">
        <w:t xml:space="preserve"> beamforming at millimetre wave frequencies. The </w:t>
      </w:r>
      <w:r w:rsidR="003A6E30">
        <w:t xml:space="preserve">beam pointing </w:t>
      </w:r>
      <w:r w:rsidR="00F16E95">
        <w:t>loss depends on the number of beams and how they are placed to create coverage</w:t>
      </w:r>
      <w:r w:rsidR="00AD03DA">
        <w:t xml:space="preserve"> within the </w:t>
      </w:r>
      <w:r w:rsidR="003A6E30">
        <w:t>full sphere</w:t>
      </w:r>
      <w:r w:rsidR="00F16E95">
        <w:t>.</w:t>
      </w:r>
      <w:r w:rsidR="003A6E30">
        <w:t xml:space="preserve"> Especially when the UE has to switch from one antenna array to another antenna array, maybe in another location at the UE, the drop can be substantially. For the test of peak EIS (or EIRP) this will not be an issue but rather for the spherical coverage (CDF test).</w:t>
      </w:r>
    </w:p>
    <w:p w:rsidR="00E50585" w:rsidRDefault="00E50585" w:rsidP="00530D70">
      <w:pPr>
        <w:pStyle w:val="BodyText"/>
      </w:pPr>
    </w:p>
    <w:p w:rsidR="00AD03DA" w:rsidRDefault="00AD03DA" w:rsidP="00AD03DA">
      <w:pPr>
        <w:pStyle w:val="BodyText"/>
        <w:numPr>
          <w:ilvl w:val="1"/>
          <w:numId w:val="5"/>
        </w:numPr>
        <w:tabs>
          <w:tab w:val="left" w:pos="567"/>
        </w:tabs>
        <w:ind w:hanging="720"/>
        <w:rPr>
          <w:rFonts w:ascii="Arial" w:hAnsi="Arial" w:cs="Arial"/>
        </w:rPr>
      </w:pPr>
      <w:r>
        <w:rPr>
          <w:rFonts w:ascii="Arial" w:hAnsi="Arial" w:cs="Arial"/>
        </w:rPr>
        <w:t>Distribution Loss</w:t>
      </w:r>
    </w:p>
    <w:p w:rsidR="00AD03DA" w:rsidRDefault="00F16E95" w:rsidP="00530D70">
      <w:pPr>
        <w:pStyle w:val="BodyText"/>
      </w:pPr>
      <w:r>
        <w:t xml:space="preserve">For traditional </w:t>
      </w:r>
      <w:r w:rsidR="00743E48">
        <w:t>measurements (LTE and FR1)</w:t>
      </w:r>
      <w:r>
        <w:t xml:space="preserve"> the </w:t>
      </w:r>
      <w:r w:rsidR="00743E48">
        <w:t xml:space="preserve">reference plane is defined in the </w:t>
      </w:r>
      <w:r>
        <w:t xml:space="preserve">RF connector at the transceiver. The </w:t>
      </w:r>
      <w:r w:rsidR="00381F42">
        <w:t>transmission</w:t>
      </w:r>
      <w:r>
        <w:t xml:space="preserve"> loss (including matching and insertion loss) due to the feeder </w:t>
      </w:r>
      <w:r w:rsidR="00743E48">
        <w:t xml:space="preserve">transmission line </w:t>
      </w:r>
      <w:r>
        <w:t xml:space="preserve">between the transceiver and antenna </w:t>
      </w:r>
      <w:r w:rsidR="00743E48">
        <w:t xml:space="preserve">is </w:t>
      </w:r>
      <w:r>
        <w:t xml:space="preserve">not considered.  However, for integrated </w:t>
      </w:r>
      <w:r w:rsidR="00AD03DA">
        <w:t xml:space="preserve">FR2 </w:t>
      </w:r>
      <w:r w:rsidR="00743E48">
        <w:t>UEs</w:t>
      </w:r>
      <w:r>
        <w:t xml:space="preserve">, without any access to the antenna reference point or </w:t>
      </w:r>
      <w:r w:rsidR="00381F42">
        <w:t xml:space="preserve">RF connectors, these losses must also be considered </w:t>
      </w:r>
      <w:r w:rsidR="00AD03DA">
        <w:t xml:space="preserve">being </w:t>
      </w:r>
      <w:r w:rsidR="00381F42">
        <w:t xml:space="preserve">part of the implementation. For </w:t>
      </w:r>
      <w:r w:rsidR="00743E48">
        <w:t>UEs</w:t>
      </w:r>
      <w:r w:rsidR="00381F42">
        <w:t xml:space="preserve"> operating at </w:t>
      </w:r>
      <w:r w:rsidR="0069396F">
        <w:t>millimetre</w:t>
      </w:r>
      <w:r w:rsidR="00381F42">
        <w:t xml:space="preserve"> wave frequencies the transceiver electronics is tightly integrated with the </w:t>
      </w:r>
      <w:r w:rsidR="0069396F">
        <w:t>array</w:t>
      </w:r>
      <w:r w:rsidR="00381F42">
        <w:t xml:space="preserve"> antenna. </w:t>
      </w:r>
      <w:r w:rsidR="0069396F">
        <w:t>Even though</w:t>
      </w:r>
      <w:r w:rsidR="00381F42">
        <w:t xml:space="preserve">, the transmission losses between </w:t>
      </w:r>
      <w:r w:rsidR="0069396F">
        <w:t>single</w:t>
      </w:r>
      <w:r w:rsidR="00381F42">
        <w:t xml:space="preserve"> element and the transceiver cannot be seen as </w:t>
      </w:r>
      <w:proofErr w:type="spellStart"/>
      <w:r w:rsidR="0069396F">
        <w:t>neglectable</w:t>
      </w:r>
      <w:proofErr w:type="spellEnd"/>
      <w:r w:rsidR="00381F42">
        <w:t xml:space="preserve">. </w:t>
      </w:r>
      <w:r w:rsidR="00743E48">
        <w:t>For the UL this could be compensated with a higher power from the power amplifier, even though there are a lot of challenges involved such as heat issues etc. For the DL there is no such way to compensate.</w:t>
      </w:r>
    </w:p>
    <w:p w:rsidR="00D1386D" w:rsidRDefault="00D1386D" w:rsidP="00530D70">
      <w:pPr>
        <w:pStyle w:val="BodyText"/>
      </w:pPr>
    </w:p>
    <w:p w:rsidR="00AD03DA" w:rsidRDefault="00AD03DA" w:rsidP="00AD03DA">
      <w:pPr>
        <w:pStyle w:val="BodyText"/>
        <w:numPr>
          <w:ilvl w:val="1"/>
          <w:numId w:val="5"/>
        </w:numPr>
        <w:tabs>
          <w:tab w:val="left" w:pos="567"/>
        </w:tabs>
        <w:ind w:hanging="720"/>
        <w:rPr>
          <w:rFonts w:ascii="Arial" w:hAnsi="Arial" w:cs="Arial"/>
        </w:rPr>
      </w:pPr>
      <w:r>
        <w:rPr>
          <w:rFonts w:ascii="Arial" w:hAnsi="Arial" w:cs="Arial"/>
        </w:rPr>
        <w:t>Combination Loss</w:t>
      </w:r>
    </w:p>
    <w:p w:rsidR="00256415" w:rsidRDefault="0069396F" w:rsidP="00530D70">
      <w:pPr>
        <w:pStyle w:val="BodyText"/>
      </w:pPr>
      <w:r>
        <w:t xml:space="preserve">For the </w:t>
      </w:r>
      <w:r w:rsidR="00231618">
        <w:t>analogue</w:t>
      </w:r>
      <w:r>
        <w:t xml:space="preserve"> or digital </w:t>
      </w:r>
      <w:r w:rsidR="009A1D69">
        <w:t>down</w:t>
      </w:r>
      <w:r>
        <w:t>-link beam</w:t>
      </w:r>
      <w:r w:rsidR="009A1D69">
        <w:t xml:space="preserve"> </w:t>
      </w:r>
      <w:r>
        <w:t xml:space="preserve">forming, the array gain is achieved by adding signals from multiple antenna </w:t>
      </w:r>
      <w:r w:rsidR="00231618">
        <w:t>branches</w:t>
      </w:r>
      <w:r>
        <w:t xml:space="preserve"> together coherently. The foundation for doing th</w:t>
      </w:r>
      <w:r w:rsidR="009A1D69">
        <w:t>is</w:t>
      </w:r>
      <w:r>
        <w:t xml:space="preserve"> coherent power combination</w:t>
      </w:r>
      <w:r w:rsidR="009A1D69">
        <w:t>,</w:t>
      </w:r>
      <w:r>
        <w:t xml:space="preserve"> is that the system amplitude and phase </w:t>
      </w:r>
      <w:r w:rsidR="00231618">
        <w:t>characteristics</w:t>
      </w:r>
      <w:r>
        <w:t xml:space="preserve"> is known</w:t>
      </w:r>
      <w:r w:rsidR="009A1D69">
        <w:t>.</w:t>
      </w:r>
      <w:r>
        <w:t xml:space="preserve"> At </w:t>
      </w:r>
      <w:r w:rsidR="00983E0A">
        <w:t>28</w:t>
      </w:r>
      <w:r>
        <w:t xml:space="preserve"> GHz, where </w:t>
      </w:r>
      <w:r w:rsidR="00231618">
        <w:t>analogue</w:t>
      </w:r>
      <w:r>
        <w:t xml:space="preserve"> beam-forming is used, the output SNR is proportional to N/F</w:t>
      </w:r>
      <w:r w:rsidR="00231618">
        <w:t xml:space="preserve"> in the ideal case assuming perfect coherent signal combining. But due to imperfections, such as impedance matching variation between branches, an implementation margin is required. Th</w:t>
      </w:r>
      <w:r w:rsidR="009A1D69">
        <w:t xml:space="preserve">is is was studied in </w:t>
      </w:r>
      <w:r w:rsidR="00983E0A">
        <w:fldChar w:fldCharType="begin"/>
      </w:r>
      <w:r w:rsidR="00983E0A">
        <w:instrText xml:space="preserve"> REF _Ref498702844 \r \h </w:instrText>
      </w:r>
      <w:r w:rsidR="00983E0A">
        <w:fldChar w:fldCharType="separate"/>
      </w:r>
      <w:r w:rsidR="00983E0A">
        <w:t>[4]</w:t>
      </w:r>
      <w:r w:rsidR="00983E0A">
        <w:fldChar w:fldCharType="end"/>
      </w:r>
      <w:r w:rsidR="009A1D69">
        <w:t xml:space="preserve"> where it was found that the </w:t>
      </w:r>
      <w:r w:rsidR="00231618">
        <w:t xml:space="preserve">combination loss is typically in the range of 0-1 dB. </w:t>
      </w:r>
    </w:p>
    <w:p w:rsidR="00AD03DA" w:rsidRDefault="00AD03DA" w:rsidP="00530D70">
      <w:pPr>
        <w:pStyle w:val="BodyText"/>
      </w:pPr>
    </w:p>
    <w:p w:rsidR="00AD03DA" w:rsidRDefault="00983E0A" w:rsidP="00276C16">
      <w:pPr>
        <w:pStyle w:val="BodyText"/>
        <w:numPr>
          <w:ilvl w:val="1"/>
          <w:numId w:val="5"/>
        </w:numPr>
        <w:tabs>
          <w:tab w:val="left" w:pos="567"/>
        </w:tabs>
        <w:ind w:hanging="720"/>
        <w:rPr>
          <w:rFonts w:ascii="Arial" w:hAnsi="Arial" w:cs="Arial"/>
        </w:rPr>
      </w:pPr>
      <w:r>
        <w:rPr>
          <w:rFonts w:ascii="Arial" w:hAnsi="Arial" w:cs="Arial"/>
        </w:rPr>
        <w:t>Plastic</w:t>
      </w:r>
      <w:r w:rsidR="00AD03DA">
        <w:rPr>
          <w:rFonts w:ascii="Arial" w:hAnsi="Arial" w:cs="Arial"/>
        </w:rPr>
        <w:t xml:space="preserve"> Loss</w:t>
      </w:r>
    </w:p>
    <w:p w:rsidR="00276C16" w:rsidRDefault="00983E0A" w:rsidP="00231618">
      <w:pPr>
        <w:pStyle w:val="BodyText"/>
      </w:pPr>
      <w:r>
        <w:t xml:space="preserve">The plastic loss or radome loss has been discussed a lot. </w:t>
      </w:r>
      <w:r w:rsidR="00231618">
        <w:t xml:space="preserve">The </w:t>
      </w:r>
      <w:r>
        <w:t xml:space="preserve">plastic </w:t>
      </w:r>
      <w:r w:rsidR="00231618">
        <w:t>materials often have dielectric properties with high relative permittivity constant</w:t>
      </w:r>
      <w:r>
        <w:t xml:space="preserve"> (3.5 or higher)</w:t>
      </w:r>
      <w:r w:rsidR="00231618">
        <w:t xml:space="preserve">. </w:t>
      </w:r>
    </w:p>
    <w:p w:rsidR="00BD2AEF" w:rsidRDefault="00231618" w:rsidP="0062745C">
      <w:pPr>
        <w:pStyle w:val="BodyText"/>
      </w:pPr>
      <w:r>
        <w:t xml:space="preserve">As a general rule for </w:t>
      </w:r>
      <w:r w:rsidR="00983E0A">
        <w:t xml:space="preserve">housing </w:t>
      </w:r>
      <w:r>
        <w:t xml:space="preserve">design is that it should be invisible at the frequency of design. </w:t>
      </w:r>
      <w:r w:rsidR="00983E0A">
        <w:t xml:space="preserve">Industrial design may often be in conflict to this. </w:t>
      </w:r>
      <w:r w:rsidR="005F760D">
        <w:t xml:space="preserve">The signal loss due to the </w:t>
      </w:r>
      <w:r w:rsidR="00983E0A">
        <w:t xml:space="preserve">housing </w:t>
      </w:r>
      <w:r w:rsidR="005F760D">
        <w:t xml:space="preserve">can be split up </w:t>
      </w:r>
      <w:r w:rsidR="00983E0A">
        <w:t>in</w:t>
      </w:r>
      <w:r w:rsidR="005F760D">
        <w:t xml:space="preserve"> three main </w:t>
      </w:r>
      <w:r w:rsidR="00744963">
        <w:t>contributions</w:t>
      </w:r>
      <w:r w:rsidR="005F760D">
        <w:t xml:space="preserve">; dissipative loss, reflections loss and directivity loss. The dissipative loss is associate to the selected </w:t>
      </w:r>
      <w:r w:rsidR="00983E0A">
        <w:t xml:space="preserve">housing </w:t>
      </w:r>
      <w:r w:rsidR="005F760D">
        <w:t xml:space="preserve">material parameters. Typically, this loss is in the range of 0.2 to 0.5 dB for </w:t>
      </w:r>
      <w:r w:rsidR="00983E0A">
        <w:t>28</w:t>
      </w:r>
      <w:r w:rsidR="005F760D">
        <w:t xml:space="preserve"> GHz. The reflection loss </w:t>
      </w:r>
      <w:r w:rsidR="00744963">
        <w:t>depends</w:t>
      </w:r>
      <w:r w:rsidR="005F760D">
        <w:t xml:space="preserve"> on material, surface smoothness and mechanical tolerances. Typically, this loss is in the range </w:t>
      </w:r>
      <w:r w:rsidR="00276C16">
        <w:t xml:space="preserve">0.5 </w:t>
      </w:r>
      <w:r w:rsidR="005F760D">
        <w:t xml:space="preserve">to </w:t>
      </w:r>
      <w:r w:rsidR="00276C16">
        <w:t xml:space="preserve">1 </w:t>
      </w:r>
      <w:r w:rsidR="005F760D">
        <w:t xml:space="preserve">dB for </w:t>
      </w:r>
      <w:r w:rsidR="00983E0A">
        <w:t>28</w:t>
      </w:r>
      <w:r w:rsidR="005F760D">
        <w:t xml:space="preserve"> GHz. The last loss factor will change the directivity as function of steering angle. This effect is often referred to the defocusing effect </w:t>
      </w:r>
      <w:r w:rsidR="00983E0A">
        <w:t xml:space="preserve">and result </w:t>
      </w:r>
      <w:r w:rsidR="00983E0A">
        <w:lastRenderedPageBreak/>
        <w:t>in scattering of the lobe pattern and increase of grading lobes</w:t>
      </w:r>
      <w:r w:rsidR="005F760D">
        <w:t>.</w:t>
      </w:r>
      <w:r w:rsidR="00983E0A">
        <w:t xml:space="preserve"> The peak gain in the very best direction may not be affected very much but there will be a ripple in the spatial domain of 2 – 5 dB compared to no housing.</w:t>
      </w:r>
      <w:r w:rsidR="00276C16">
        <w:t xml:space="preserve"> </w:t>
      </w:r>
    </w:p>
    <w:p w:rsidR="003B61A8" w:rsidRDefault="003B61A8"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Conclusion</w:t>
      </w:r>
    </w:p>
    <w:p w:rsidR="003B61A8" w:rsidRPr="007D610C" w:rsidRDefault="00944237" w:rsidP="003B61A8">
      <w:pPr>
        <w:pStyle w:val="BodyText"/>
      </w:pPr>
      <w:r>
        <w:t>In this document we have discussed different aspects of antenna design for UE handsets for NR mmWave (FR2) in general and the impact on REFSENS EIS in particular. We have found that further discussion on REFSENS in general and REFSENS test methods are needed.</w:t>
      </w:r>
      <w:r w:rsidR="00D1386D">
        <w:t xml:space="preserve"> </w:t>
      </w:r>
      <w:r w:rsidR="003B61A8">
        <w:t xml:space="preserve"> </w:t>
      </w:r>
    </w:p>
    <w:p w:rsidR="003B61A8" w:rsidRDefault="003B61A8" w:rsidP="003B61A8">
      <w:pPr>
        <w:pBdr>
          <w:bottom w:val="single" w:sz="4" w:space="1" w:color="auto"/>
        </w:pBdr>
        <w:rPr>
          <w:rFonts w:ascii="Arial" w:hAnsi="Arial" w:cs="Arial"/>
        </w:rPr>
      </w:pPr>
    </w:p>
    <w:p w:rsidR="003B61A8" w:rsidRDefault="003B61A8" w:rsidP="003B61A8">
      <w:pPr>
        <w:pStyle w:val="Heading1"/>
        <w:keepLines w:val="0"/>
        <w:numPr>
          <w:ilvl w:val="0"/>
          <w:numId w:val="5"/>
        </w:numPr>
        <w:pBdr>
          <w:top w:val="none" w:sz="0" w:space="0" w:color="auto"/>
        </w:pBdr>
        <w:spacing w:before="0" w:after="240"/>
        <w:ind w:right="284" w:hanging="720"/>
      </w:pPr>
      <w:r>
        <w:t>References</w:t>
      </w:r>
    </w:p>
    <w:p w:rsidR="00957ABF" w:rsidRDefault="00957ABF" w:rsidP="00EA4A23">
      <w:pPr>
        <w:pStyle w:val="references"/>
        <w:numPr>
          <w:ilvl w:val="0"/>
          <w:numId w:val="0"/>
        </w:numPr>
        <w:tabs>
          <w:tab w:val="left" w:pos="709"/>
        </w:tabs>
        <w:ind w:left="360" w:hanging="360"/>
      </w:pPr>
    </w:p>
    <w:p w:rsidR="00957ABF" w:rsidRDefault="00957ABF" w:rsidP="00EA4A23">
      <w:pPr>
        <w:pStyle w:val="references"/>
        <w:numPr>
          <w:ilvl w:val="0"/>
          <w:numId w:val="0"/>
        </w:numPr>
        <w:tabs>
          <w:tab w:val="left" w:pos="709"/>
        </w:tabs>
        <w:ind w:left="360" w:hanging="360"/>
      </w:pPr>
    </w:p>
    <w:p w:rsidR="00957ABF" w:rsidRPr="00EA4A23" w:rsidRDefault="00957ABF" w:rsidP="00957ABF">
      <w:pPr>
        <w:pStyle w:val="references"/>
        <w:numPr>
          <w:ilvl w:val="0"/>
          <w:numId w:val="7"/>
        </w:numPr>
        <w:tabs>
          <w:tab w:val="left" w:pos="709"/>
        </w:tabs>
      </w:pPr>
      <w:bookmarkStart w:id="4" w:name="_Ref498695940"/>
      <w:r w:rsidRPr="00562F55">
        <w:rPr>
          <w:lang w:val="en-GB"/>
        </w:rPr>
        <w:t xml:space="preserve">R4-1706067 </w:t>
      </w:r>
      <w:r w:rsidRPr="00562F55">
        <w:rPr>
          <w:lang w:val="en-GB"/>
        </w:rPr>
        <w:tab/>
        <w:t xml:space="preserve">“WF on UE Reference Architecture”, </w:t>
      </w:r>
      <w:r w:rsidRPr="00562F55">
        <w:rPr>
          <w:i/>
          <w:iCs/>
        </w:rPr>
        <w:t>Sony, Skyworks Solutions Inc., LG Electronics</w:t>
      </w:r>
      <w:bookmarkEnd w:id="4"/>
    </w:p>
    <w:p w:rsidR="00957ABF" w:rsidRPr="00EA4A23" w:rsidRDefault="00957ABF" w:rsidP="00957ABF">
      <w:pPr>
        <w:pStyle w:val="references"/>
        <w:numPr>
          <w:ilvl w:val="0"/>
          <w:numId w:val="7"/>
        </w:numPr>
        <w:tabs>
          <w:tab w:val="left" w:pos="709"/>
        </w:tabs>
      </w:pPr>
      <w:bookmarkStart w:id="5" w:name="_Ref498699343"/>
      <w:r w:rsidRPr="00957ABF">
        <w:t>R4-17yyzzz</w:t>
      </w:r>
      <w:r>
        <w:tab/>
        <w:t>“</w:t>
      </w:r>
      <w:r w:rsidRPr="00957ABF">
        <w:t>On the impact of polarization for UE RF requirements for FR2</w:t>
      </w:r>
      <w:r>
        <w:t xml:space="preserve">”, </w:t>
      </w:r>
      <w:r w:rsidRPr="00EA4A23">
        <w:rPr>
          <w:i/>
          <w:iCs/>
        </w:rPr>
        <w:t>Ericsson, Sony</w:t>
      </w:r>
      <w:bookmarkEnd w:id="5"/>
    </w:p>
    <w:p w:rsidR="008345FB" w:rsidRPr="00EA4A23" w:rsidRDefault="008345FB" w:rsidP="008345FB">
      <w:pPr>
        <w:pStyle w:val="references"/>
        <w:numPr>
          <w:ilvl w:val="0"/>
          <w:numId w:val="7"/>
        </w:numPr>
        <w:tabs>
          <w:tab w:val="left" w:pos="709"/>
        </w:tabs>
      </w:pPr>
      <w:bookmarkStart w:id="6" w:name="_Ref498698449"/>
      <w:r w:rsidRPr="008345FB">
        <w:t xml:space="preserve">R4-1702844 </w:t>
      </w:r>
      <w:r>
        <w:tab/>
        <w:t>“</w:t>
      </w:r>
      <w:r w:rsidRPr="008345FB">
        <w:t>UE antenna array configuration for mmWave</w:t>
      </w:r>
      <w:r>
        <w:t xml:space="preserve">”, </w:t>
      </w:r>
      <w:r w:rsidRPr="00EA4A23">
        <w:rPr>
          <w:i/>
          <w:iCs/>
        </w:rPr>
        <w:t>Sony, Ericsson</w:t>
      </w:r>
      <w:bookmarkEnd w:id="6"/>
    </w:p>
    <w:p w:rsidR="009417BE" w:rsidRPr="00EA4A23" w:rsidRDefault="009417BE" w:rsidP="009417BE">
      <w:pPr>
        <w:pStyle w:val="references"/>
        <w:numPr>
          <w:ilvl w:val="0"/>
          <w:numId w:val="7"/>
        </w:numPr>
        <w:tabs>
          <w:tab w:val="left" w:pos="709"/>
        </w:tabs>
      </w:pPr>
      <w:bookmarkStart w:id="7" w:name="_Ref498702844"/>
      <w:r w:rsidRPr="009417BE">
        <w:t>R4-1711429</w:t>
      </w:r>
      <w:r>
        <w:tab/>
        <w:t>“</w:t>
      </w:r>
      <w:r w:rsidRPr="009417BE">
        <w:t>Discussion of antenna array pre-coder imperfections for mmWave 28GHz antennas</w:t>
      </w:r>
      <w:r>
        <w:t xml:space="preserve">”, </w:t>
      </w:r>
      <w:r w:rsidRPr="007945F6">
        <w:rPr>
          <w:i/>
          <w:iCs/>
        </w:rPr>
        <w:t>Sony</w:t>
      </w:r>
      <w:bookmarkEnd w:id="7"/>
    </w:p>
    <w:p w:rsidR="00947C72" w:rsidRPr="007945F6" w:rsidRDefault="00947C72" w:rsidP="009417BE">
      <w:pPr>
        <w:pStyle w:val="references"/>
        <w:numPr>
          <w:ilvl w:val="0"/>
          <w:numId w:val="7"/>
        </w:numPr>
        <w:tabs>
          <w:tab w:val="left" w:pos="709"/>
        </w:tabs>
      </w:pPr>
      <w:bookmarkStart w:id="8" w:name="_Ref498703919"/>
      <w:r>
        <w:t>IEEE Std 145-2013, “IEEE Standard for Definitions of Terms for Antennas”, IEEE</w:t>
      </w:r>
      <w:bookmarkEnd w:id="8"/>
    </w:p>
    <w:p w:rsidR="004F3915" w:rsidRDefault="00957ABF" w:rsidP="00EA4A23">
      <w:pPr>
        <w:pStyle w:val="references"/>
        <w:numPr>
          <w:ilvl w:val="0"/>
          <w:numId w:val="0"/>
        </w:numPr>
        <w:tabs>
          <w:tab w:val="left" w:pos="709"/>
        </w:tabs>
      </w:pPr>
      <w:r w:rsidDel="00957ABF">
        <w:t xml:space="preserve"> </w:t>
      </w:r>
    </w:p>
    <w:bookmarkEnd w:id="0"/>
    <w:p w:rsidR="005C7173" w:rsidRDefault="005C7173" w:rsidP="005C7173"/>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672" w:rsidRDefault="00836672">
      <w:r>
        <w:separator/>
      </w:r>
    </w:p>
  </w:endnote>
  <w:endnote w:type="continuationSeparator" w:id="0">
    <w:p w:rsidR="00836672" w:rsidRDefault="00836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FC5" w:rsidRDefault="00EF1FC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672" w:rsidRDefault="00836672">
      <w:r>
        <w:separator/>
      </w:r>
    </w:p>
  </w:footnote>
  <w:footnote w:type="continuationSeparator" w:id="0">
    <w:p w:rsidR="00836672" w:rsidRDefault="008366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FC5" w:rsidRDefault="00EF1FC5">
    <w:pPr>
      <w:framePr w:h="284" w:hRule="exact" w:wrap="around" w:vAnchor="text" w:hAnchor="margin" w:xAlign="right" w:y="1"/>
      <w:rPr>
        <w:rFonts w:ascii="Arial" w:hAnsi="Arial" w:cs="Arial"/>
        <w:b/>
        <w:sz w:val="18"/>
        <w:szCs w:val="18"/>
      </w:rPr>
    </w:pPr>
  </w:p>
  <w:p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298C">
      <w:rPr>
        <w:rFonts w:ascii="Arial" w:hAnsi="Arial" w:cs="Arial"/>
        <w:b/>
        <w:noProof/>
        <w:sz w:val="18"/>
        <w:szCs w:val="18"/>
      </w:rPr>
      <w:t>1</w:t>
    </w:r>
    <w:r>
      <w:rPr>
        <w:rFonts w:ascii="Arial" w:hAnsi="Arial" w:cs="Arial"/>
        <w:b/>
        <w:sz w:val="18"/>
        <w:szCs w:val="18"/>
      </w:rPr>
      <w:fldChar w:fldCharType="end"/>
    </w:r>
  </w:p>
  <w:p w:rsidR="00EF1FC5" w:rsidRDefault="00EF1FC5">
    <w:pPr>
      <w:framePr w:h="284" w:hRule="exact" w:wrap="around" w:vAnchor="text" w:hAnchor="margin" w:y="7"/>
      <w:rPr>
        <w:rFonts w:ascii="Arial" w:hAnsi="Arial" w:cs="Arial"/>
        <w:b/>
        <w:sz w:val="18"/>
        <w:szCs w:val="18"/>
      </w:rPr>
    </w:pPr>
  </w:p>
  <w:p w:rsidR="00EF1FC5" w:rsidRDefault="00EF1F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multilevel"/>
    <w:tmpl w:val="FFEE032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0C4"/>
    <w:rsid w:val="00016108"/>
    <w:rsid w:val="00033397"/>
    <w:rsid w:val="00040095"/>
    <w:rsid w:val="00047B0C"/>
    <w:rsid w:val="00051834"/>
    <w:rsid w:val="00054A22"/>
    <w:rsid w:val="000560CC"/>
    <w:rsid w:val="000655A6"/>
    <w:rsid w:val="00075521"/>
    <w:rsid w:val="00080512"/>
    <w:rsid w:val="00094D53"/>
    <w:rsid w:val="00096009"/>
    <w:rsid w:val="000C4DB7"/>
    <w:rsid w:val="000D58AB"/>
    <w:rsid w:val="000D696C"/>
    <w:rsid w:val="000E1DEA"/>
    <w:rsid w:val="000E632F"/>
    <w:rsid w:val="000F0805"/>
    <w:rsid w:val="000F6D2B"/>
    <w:rsid w:val="00176C71"/>
    <w:rsid w:val="001862BC"/>
    <w:rsid w:val="001878F8"/>
    <w:rsid w:val="001B4781"/>
    <w:rsid w:val="001C2CA0"/>
    <w:rsid w:val="001D02C2"/>
    <w:rsid w:val="001E5AC9"/>
    <w:rsid w:val="001E62AA"/>
    <w:rsid w:val="001F168B"/>
    <w:rsid w:val="001F33FD"/>
    <w:rsid w:val="001F5CB9"/>
    <w:rsid w:val="00205C5C"/>
    <w:rsid w:val="002207AA"/>
    <w:rsid w:val="00231618"/>
    <w:rsid w:val="00231DE5"/>
    <w:rsid w:val="0023254C"/>
    <w:rsid w:val="002347A2"/>
    <w:rsid w:val="00241C9F"/>
    <w:rsid w:val="00241D8F"/>
    <w:rsid w:val="00245E29"/>
    <w:rsid w:val="00256415"/>
    <w:rsid w:val="00276C16"/>
    <w:rsid w:val="002A0978"/>
    <w:rsid w:val="002B067D"/>
    <w:rsid w:val="002B0AA9"/>
    <w:rsid w:val="002E0D76"/>
    <w:rsid w:val="002E2D39"/>
    <w:rsid w:val="002F1E03"/>
    <w:rsid w:val="002F47CC"/>
    <w:rsid w:val="002F6ADE"/>
    <w:rsid w:val="0031203A"/>
    <w:rsid w:val="00316D3E"/>
    <w:rsid w:val="003172DC"/>
    <w:rsid w:val="003348D7"/>
    <w:rsid w:val="0035462D"/>
    <w:rsid w:val="00361E87"/>
    <w:rsid w:val="00365986"/>
    <w:rsid w:val="00381F42"/>
    <w:rsid w:val="00390550"/>
    <w:rsid w:val="003935E2"/>
    <w:rsid w:val="003A6E30"/>
    <w:rsid w:val="003B1D4A"/>
    <w:rsid w:val="003B61A8"/>
    <w:rsid w:val="003C3971"/>
    <w:rsid w:val="004969E7"/>
    <w:rsid w:val="004B5078"/>
    <w:rsid w:val="004D3578"/>
    <w:rsid w:val="004E0C1D"/>
    <w:rsid w:val="004E213A"/>
    <w:rsid w:val="004E29CC"/>
    <w:rsid w:val="004F3915"/>
    <w:rsid w:val="004F4D5A"/>
    <w:rsid w:val="00530D70"/>
    <w:rsid w:val="00537D39"/>
    <w:rsid w:val="00543E6C"/>
    <w:rsid w:val="00565087"/>
    <w:rsid w:val="00592A9D"/>
    <w:rsid w:val="005B06D7"/>
    <w:rsid w:val="005B3C73"/>
    <w:rsid w:val="005B4A0A"/>
    <w:rsid w:val="005B51E7"/>
    <w:rsid w:val="005C2897"/>
    <w:rsid w:val="005C7173"/>
    <w:rsid w:val="005D2E01"/>
    <w:rsid w:val="005D3EE8"/>
    <w:rsid w:val="005F760D"/>
    <w:rsid w:val="00612061"/>
    <w:rsid w:val="006134B7"/>
    <w:rsid w:val="00614FDF"/>
    <w:rsid w:val="0062745C"/>
    <w:rsid w:val="00635C2C"/>
    <w:rsid w:val="006472F3"/>
    <w:rsid w:val="00674E7D"/>
    <w:rsid w:val="00680648"/>
    <w:rsid w:val="0069396F"/>
    <w:rsid w:val="006D1100"/>
    <w:rsid w:val="006E5C86"/>
    <w:rsid w:val="00700773"/>
    <w:rsid w:val="007148E4"/>
    <w:rsid w:val="00734A5B"/>
    <w:rsid w:val="00743E48"/>
    <w:rsid w:val="00744963"/>
    <w:rsid w:val="00744E76"/>
    <w:rsid w:val="007577CB"/>
    <w:rsid w:val="00771315"/>
    <w:rsid w:val="00781F0F"/>
    <w:rsid w:val="007C4C45"/>
    <w:rsid w:val="007D2E67"/>
    <w:rsid w:val="007D674C"/>
    <w:rsid w:val="007F0635"/>
    <w:rsid w:val="007F52D4"/>
    <w:rsid w:val="008028A4"/>
    <w:rsid w:val="008047F3"/>
    <w:rsid w:val="00805820"/>
    <w:rsid w:val="008345FB"/>
    <w:rsid w:val="00836672"/>
    <w:rsid w:val="008508AB"/>
    <w:rsid w:val="00863A7C"/>
    <w:rsid w:val="008768CA"/>
    <w:rsid w:val="008B735F"/>
    <w:rsid w:val="008C0085"/>
    <w:rsid w:val="008D1D12"/>
    <w:rsid w:val="008F6912"/>
    <w:rsid w:val="0090271F"/>
    <w:rsid w:val="00902E23"/>
    <w:rsid w:val="0090598A"/>
    <w:rsid w:val="00907978"/>
    <w:rsid w:val="00910C42"/>
    <w:rsid w:val="0091348E"/>
    <w:rsid w:val="00917CCB"/>
    <w:rsid w:val="0092165E"/>
    <w:rsid w:val="009228DF"/>
    <w:rsid w:val="0092774C"/>
    <w:rsid w:val="00931475"/>
    <w:rsid w:val="009417BE"/>
    <w:rsid w:val="00942EC2"/>
    <w:rsid w:val="00944237"/>
    <w:rsid w:val="00944C13"/>
    <w:rsid w:val="00947C72"/>
    <w:rsid w:val="00957ABF"/>
    <w:rsid w:val="00974355"/>
    <w:rsid w:val="00983E0A"/>
    <w:rsid w:val="00992A5C"/>
    <w:rsid w:val="009A1D69"/>
    <w:rsid w:val="009A2D2D"/>
    <w:rsid w:val="009B13F6"/>
    <w:rsid w:val="009B4CA8"/>
    <w:rsid w:val="009B5100"/>
    <w:rsid w:val="009F37B7"/>
    <w:rsid w:val="009F5D78"/>
    <w:rsid w:val="00A10F02"/>
    <w:rsid w:val="00A164B4"/>
    <w:rsid w:val="00A35D18"/>
    <w:rsid w:val="00A4516F"/>
    <w:rsid w:val="00A5035A"/>
    <w:rsid w:val="00A53724"/>
    <w:rsid w:val="00A82346"/>
    <w:rsid w:val="00AB2372"/>
    <w:rsid w:val="00AB327F"/>
    <w:rsid w:val="00AD03DA"/>
    <w:rsid w:val="00AF7E44"/>
    <w:rsid w:val="00B14246"/>
    <w:rsid w:val="00B15449"/>
    <w:rsid w:val="00B200AA"/>
    <w:rsid w:val="00B476B7"/>
    <w:rsid w:val="00B57386"/>
    <w:rsid w:val="00B72018"/>
    <w:rsid w:val="00BB4556"/>
    <w:rsid w:val="00BC0F7D"/>
    <w:rsid w:val="00BD2AEF"/>
    <w:rsid w:val="00C0073B"/>
    <w:rsid w:val="00C17A60"/>
    <w:rsid w:val="00C33079"/>
    <w:rsid w:val="00C35136"/>
    <w:rsid w:val="00C371B3"/>
    <w:rsid w:val="00C45231"/>
    <w:rsid w:val="00C6035E"/>
    <w:rsid w:val="00C72833"/>
    <w:rsid w:val="00C92C8B"/>
    <w:rsid w:val="00C93F40"/>
    <w:rsid w:val="00CA3B1D"/>
    <w:rsid w:val="00CA3D0C"/>
    <w:rsid w:val="00CA3D41"/>
    <w:rsid w:val="00CA47BF"/>
    <w:rsid w:val="00CB071C"/>
    <w:rsid w:val="00CB396B"/>
    <w:rsid w:val="00CC51EC"/>
    <w:rsid w:val="00CD7074"/>
    <w:rsid w:val="00CD7744"/>
    <w:rsid w:val="00CF42C5"/>
    <w:rsid w:val="00D11B3A"/>
    <w:rsid w:val="00D1386D"/>
    <w:rsid w:val="00D43B4B"/>
    <w:rsid w:val="00D56778"/>
    <w:rsid w:val="00D738D6"/>
    <w:rsid w:val="00D755EB"/>
    <w:rsid w:val="00D87E00"/>
    <w:rsid w:val="00D9134D"/>
    <w:rsid w:val="00DA5860"/>
    <w:rsid w:val="00DA7A03"/>
    <w:rsid w:val="00DB1818"/>
    <w:rsid w:val="00DC060F"/>
    <w:rsid w:val="00DC309B"/>
    <w:rsid w:val="00DC4DA2"/>
    <w:rsid w:val="00DD69AB"/>
    <w:rsid w:val="00DF2B1F"/>
    <w:rsid w:val="00DF62CD"/>
    <w:rsid w:val="00E41C4A"/>
    <w:rsid w:val="00E50585"/>
    <w:rsid w:val="00E77645"/>
    <w:rsid w:val="00E90BA7"/>
    <w:rsid w:val="00EA4A23"/>
    <w:rsid w:val="00EA7C61"/>
    <w:rsid w:val="00EB035D"/>
    <w:rsid w:val="00EB7BAF"/>
    <w:rsid w:val="00EC4A25"/>
    <w:rsid w:val="00ED050C"/>
    <w:rsid w:val="00EF1994"/>
    <w:rsid w:val="00EF1B7B"/>
    <w:rsid w:val="00EF1FC5"/>
    <w:rsid w:val="00F025A2"/>
    <w:rsid w:val="00F04712"/>
    <w:rsid w:val="00F134A0"/>
    <w:rsid w:val="00F16E95"/>
    <w:rsid w:val="00F20F8D"/>
    <w:rsid w:val="00F22EC7"/>
    <w:rsid w:val="00F26CEE"/>
    <w:rsid w:val="00F313DF"/>
    <w:rsid w:val="00F3286E"/>
    <w:rsid w:val="00F653B8"/>
    <w:rsid w:val="00FA1266"/>
    <w:rsid w:val="00FA4576"/>
    <w:rsid w:val="00FC1192"/>
    <w:rsid w:val="00FC4553"/>
    <w:rsid w:val="00FE181B"/>
    <w:rsid w:val="00FF298C"/>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92782DF-4DF5-4EBA-8DEE-57B5AC677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TFChar">
    <w:name w:val="TF Char"/>
    <w:link w:val="TF"/>
    <w:locked/>
    <w:rsid w:val="00256415"/>
    <w:rPr>
      <w:rFonts w:ascii="Arial" w:hAnsi="Arial"/>
      <w:b/>
      <w:lang w:val="en-GB"/>
    </w:rPr>
  </w:style>
  <w:style w:type="paragraph" w:customStyle="1" w:styleId="references">
    <w:name w:val="references"/>
    <w:uiPriority w:val="99"/>
    <w:rsid w:val="00957ABF"/>
    <w:pPr>
      <w:numPr>
        <w:numId w:val="6"/>
      </w:numPr>
      <w:spacing w:after="50" w:line="180" w:lineRule="exact"/>
      <w:jc w:val="both"/>
    </w:pPr>
    <w:rPr>
      <w:rFonts w:eastAsia="MS Mincho"/>
      <w:noProof/>
      <w:szCs w:val="16"/>
      <w:lang w:eastAsia="en-US"/>
    </w:rPr>
  </w:style>
  <w:style w:type="paragraph" w:styleId="CommentText">
    <w:name w:val="annotation text"/>
    <w:basedOn w:val="Normal"/>
    <w:link w:val="CommentTextChar"/>
    <w:rsid w:val="00957ABF"/>
  </w:style>
  <w:style w:type="character" w:customStyle="1" w:styleId="CommentTextChar">
    <w:name w:val="Comment Text Char"/>
    <w:basedOn w:val="DefaultParagraphFont"/>
    <w:link w:val="CommentText"/>
    <w:rsid w:val="00957A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8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C2A4C-5153-4008-BAE0-9AA9CFE64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1868</Words>
  <Characters>10652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Zander, Olof</cp:lastModifiedBy>
  <cp:revision>3</cp:revision>
  <cp:lastPrinted>2017-10-30T14:45:00Z</cp:lastPrinted>
  <dcterms:created xsi:type="dcterms:W3CDTF">2017-11-17T18:20:00Z</dcterms:created>
  <dcterms:modified xsi:type="dcterms:W3CDTF">2017-11-17T18:21:00Z</dcterms:modified>
</cp:coreProperties>
</file>